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Xa6f95dafda00f232616b4d345b29c472e67dc2c"/>
    <w:p>
      <w:pPr>
        <w:pStyle w:val="Heading2"/>
      </w:pPr>
      <w:r>
        <w:t xml:space="preserve">REQUERIMENTO DE INDENIZAÇÃO POR DANOS MORAIS E PATRIMONIAIS</w:t>
      </w:r>
    </w:p>
    <w:p>
      <w:pPr>
        <w:pStyle w:val="FirstParagraph"/>
      </w:pPr>
      <w:r>
        <w:rPr>
          <w:b/>
          <w:bCs/>
        </w:rPr>
        <w:t xml:space="preserve">Processo n.º 2023/04567 – Ação Civil e Penal por Abuso de Menores na Associação Casa da Juventude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João Silva, menor, representado por Maria Silva, residente em Rua das Flores, 45, 1.º Esq., 1150‑123 Lisboa, NIF 123 456 789</w:t>
      </w:r>
      <w:r>
        <w:br/>
      </w:r>
      <w:r>
        <w:rPr>
          <w:b/>
          <w:bCs/>
        </w:rPr>
        <w:t xml:space="preserve">Réus/Requeridos:</w:t>
      </w:r>
      <w:r>
        <w:t xml:space="preserve"> </w:t>
      </w:r>
      <w:r>
        <w:t xml:space="preserve">Associação Casa da Juventude, Lda., com sede em Avenida da Liberdade, 210, 3.º Dto., 1250‑147 Lisboa, NIF 504 321 987; e Carlos Mendes, portador do Cartão de Cidadão nº 12345678, residente em Rua do Sol, 12, 2.º Fracção B, 4000‑200 Porto, NIF 987 654 321</w:t>
      </w:r>
    </w:p>
    <w:p>
      <w:pPr>
        <w:pStyle w:val="BodyText"/>
      </w:pPr>
      <w:r>
        <w:rPr>
          <w:b/>
          <w:bCs/>
        </w:rPr>
        <w:t xml:space="preserve">Mandatários:</w:t>
      </w:r>
      <w:r>
        <w:t xml:space="preserve"> </w:t>
      </w:r>
      <w:r>
        <w:t xml:space="preserve">Dr. Luís Costa (OAB/ Lisboa 12345) – escritório em Rua de São Bento, 78, 2.º Esq., 1200‑123 Lisboa; Dra. Sofia Almeida (OAB/ Lisboa 67890) – escritório em Avenida das Nações, 55, 1.º Esq., 1990‑210 Lisboa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Dr. António Ribeiro – Juiz da Vara de Família e Menores de Lisboa</w:t>
      </w:r>
    </w:p>
    <w:p>
      <w:pPr>
        <w:pStyle w:val="BodyText"/>
      </w:pPr>
      <w:r>
        <w:t xml:space="preserve">Lisboa, 15 de março de 2024</w:t>
      </w:r>
    </w:p>
    <w:p>
      <w:r>
        <w:pict>
          <v:rect style="width:0;height:1.5pt" o:hralign="center" o:hrstd="t" o:hr="t"/>
        </w:pict>
      </w:r>
    </w:p>
    <w:bookmarkStart w:id="9" w:name="i.-exposição-dos-factos-relevantes"/>
    <w:p>
      <w:pPr>
        <w:pStyle w:val="Heading3"/>
      </w:pPr>
      <w:r>
        <w:t xml:space="preserve">I. Exposição dos Factos Relevantes</w:t>
      </w:r>
    </w:p>
    <w:p>
      <w:pPr>
        <w:pStyle w:val="Compact"/>
        <w:numPr>
          <w:ilvl w:val="0"/>
          <w:numId w:val="1001"/>
        </w:numPr>
      </w:pPr>
      <w:r>
        <w:t xml:space="preserve">Entre os anos de</w:t>
      </w:r>
      <w:r>
        <w:t xml:space="preserve"> </w:t>
      </w:r>
      <w:r>
        <w:rPr>
          <w:b/>
          <w:bCs/>
        </w:rPr>
        <w:t xml:space="preserve">2015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2020</w:t>
      </w:r>
      <w:r>
        <w:t xml:space="preserve">, o menor João Silva frequentou as atividades da Associação Casa da Juventude, Lda., sob a supervisão do então diretor Carlos Mendes.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Durante esse período, o menor foi vítima de</w:t>
      </w:r>
      <w:r>
        <w:t xml:space="preserve"> </w:t>
      </w:r>
      <w:r>
        <w:rPr>
          <w:b/>
          <w:bCs/>
        </w:rPr>
        <w:t xml:space="preserve">abuso sexual continuado</w:t>
      </w:r>
      <w:r>
        <w:t xml:space="preserve">, perpetrado por pessoal da associação, nomeadamente pelo próprio Carlos Mendes, conforme comprovado pelos depoimentos colhidos na fase de instrução e pelos relatórios periciais psicológicos (laudos anexos n.º 1 e n.º 2).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O abuso provocou</w:t>
      </w:r>
      <w:r>
        <w:t xml:space="preserve"> </w:t>
      </w:r>
      <w:r>
        <w:rPr>
          <w:b/>
          <w:bCs/>
        </w:rPr>
        <w:t xml:space="preserve">lesões físicas</w:t>
      </w:r>
      <w:r>
        <w:t xml:space="preserve"> </w:t>
      </w:r>
      <w:r>
        <w:t xml:space="preserve">(lesões genitais, contusões) e</w:t>
      </w:r>
      <w:r>
        <w:t xml:space="preserve"> </w:t>
      </w:r>
      <w:r>
        <w:rPr>
          <w:b/>
          <w:bCs/>
        </w:rPr>
        <w:t xml:space="preserve">danos psicológicos profundos</w:t>
      </w:r>
      <w:r>
        <w:t xml:space="preserve">, reconhecidos pelos médicos e psicólogos que assistiram o menor, culminando em</w:t>
      </w:r>
      <w:r>
        <w:t xml:space="preserve"> </w:t>
      </w:r>
      <w:r>
        <w:rPr>
          <w:b/>
          <w:bCs/>
        </w:rPr>
        <w:t xml:space="preserve">transtorno de stress pós‑traumático (TSPT)</w:t>
      </w:r>
      <w:r>
        <w:t xml:space="preserve">, depressão e ansiedade.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 Associação Casa da Juventude, Lda., como entidade responsável pela guarda e vigilância dos menores, falhou na obrigação legal de proteção, incorrendo em</w:t>
      </w:r>
      <w:r>
        <w:t xml:space="preserve"> </w:t>
      </w:r>
      <w:r>
        <w:rPr>
          <w:b/>
          <w:bCs/>
        </w:rPr>
        <w:t xml:space="preserve">culpa civil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responsabilidade penal</w:t>
      </w:r>
      <w:r>
        <w:t xml:space="preserve"> </w:t>
      </w:r>
      <w:r>
        <w:t xml:space="preserve">(artigos 157.º e 161.º do Código Penal).</w:t>
      </w:r>
    </w:p>
    <w:bookmarkEnd w:id="9"/>
    <w:bookmarkStart w:id="10" w:name="ii.-fundamentação-jurídica"/>
    <w:p>
      <w:pPr>
        <w:pStyle w:val="Heading3"/>
      </w:pPr>
      <w:r>
        <w:t xml:space="preserve">II. Fundamentação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Artigo</w:t>
            </w:r>
          </w:p>
        </w:tc>
        <w:tc>
          <w:tcPr/>
          <w:p>
            <w:pPr>
              <w:pStyle w:val="Compact"/>
            </w:pPr>
            <w:r>
              <w:t xml:space="preserve">Código</w:t>
            </w:r>
          </w:p>
        </w:tc>
        <w:tc>
          <w:tcPr/>
          <w:p>
            <w:pPr>
              <w:pStyle w:val="Compact"/>
            </w:pPr>
            <w:r>
              <w:t xml:space="preserve">Enquadramento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483.º</w:t>
            </w:r>
          </w:p>
        </w:tc>
        <w:tc>
          <w:tcPr/>
          <w:p>
            <w:pPr>
              <w:pStyle w:val="Compact"/>
            </w:pPr>
            <w:r>
              <w:t xml:space="preserve">Código Civil</w:t>
            </w:r>
          </w:p>
        </w:tc>
        <w:tc>
          <w:tcPr/>
          <w:p>
            <w:pPr>
              <w:pStyle w:val="Compact"/>
            </w:pPr>
            <w:r>
              <w:t xml:space="preserve">Responsabilidade civil por facto ilícito.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484.º</w:t>
            </w:r>
          </w:p>
        </w:tc>
        <w:tc>
          <w:tcPr/>
          <w:p>
            <w:pPr>
              <w:pStyle w:val="Compact"/>
            </w:pPr>
            <w:r>
              <w:t xml:space="preserve">Código Civil</w:t>
            </w:r>
          </w:p>
        </w:tc>
        <w:tc>
          <w:tcPr/>
          <w:p>
            <w:pPr>
              <w:pStyle w:val="Compact"/>
            </w:pPr>
            <w:r>
              <w:t xml:space="preserve">Obrigação de indemnizar o dano causado.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562.º</w:t>
            </w:r>
          </w:p>
        </w:tc>
        <w:tc>
          <w:tcPr/>
          <w:p>
            <w:pPr>
              <w:pStyle w:val="Compact"/>
            </w:pPr>
            <w:r>
              <w:t xml:space="preserve">Código Civil</w:t>
            </w:r>
          </w:p>
        </w:tc>
        <w:tc>
          <w:tcPr/>
          <w:p>
            <w:pPr>
              <w:pStyle w:val="Compact"/>
            </w:pPr>
            <w:r>
              <w:t xml:space="preserve">Indemnização por danos morais.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586.º</w:t>
            </w:r>
          </w:p>
        </w:tc>
        <w:tc>
          <w:tcPr/>
          <w:p>
            <w:pPr>
              <w:pStyle w:val="Compact"/>
            </w:pPr>
            <w:r>
              <w:t xml:space="preserve">Código Civil</w:t>
            </w:r>
          </w:p>
        </w:tc>
        <w:tc>
          <w:tcPr/>
          <w:p>
            <w:pPr>
              <w:pStyle w:val="Compact"/>
            </w:pPr>
            <w:r>
              <w:t xml:space="preserve">Indemnização por danos patrimoniais.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157.º</w:t>
            </w:r>
          </w:p>
        </w:tc>
        <w:tc>
          <w:tcPr/>
          <w:p>
            <w:pPr>
              <w:pStyle w:val="Compact"/>
            </w:pPr>
            <w:r>
              <w:t xml:space="preserve">Código Penal</w:t>
            </w:r>
          </w:p>
        </w:tc>
        <w:tc>
          <w:tcPr/>
          <w:p>
            <w:pPr>
              <w:pStyle w:val="Compact"/>
            </w:pPr>
            <w:r>
              <w:t xml:space="preserve">Crime de abuso sexual de menores.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161.º</w:t>
            </w:r>
          </w:p>
        </w:tc>
        <w:tc>
          <w:tcPr/>
          <w:p>
            <w:pPr>
              <w:pStyle w:val="Compact"/>
            </w:pPr>
            <w:r>
              <w:t xml:space="preserve">Código Penal</w:t>
            </w:r>
          </w:p>
        </w:tc>
        <w:tc>
          <w:tcPr/>
          <w:p>
            <w:pPr>
              <w:pStyle w:val="Compact"/>
            </w:pPr>
            <w:r>
              <w:t xml:space="preserve">Responsabilidade do titular de estabelecimento.</w:t>
            </w:r>
          </w:p>
        </w:tc>
      </w:tr>
    </w:tbl>
    <w:p>
      <w:pPr>
        <w:pStyle w:val="Compact"/>
        <w:numPr>
          <w:ilvl w:val="0"/>
          <w:numId w:val="1002"/>
        </w:numPr>
      </w:pPr>
      <w:r>
        <w:t xml:space="preserve">Nos termos do</w:t>
      </w:r>
      <w:r>
        <w:t xml:space="preserve"> </w:t>
      </w:r>
      <w:r>
        <w:rPr>
          <w:b/>
          <w:bCs/>
        </w:rPr>
        <w:t xml:space="preserve">artigo 483.º</w:t>
      </w:r>
      <w:r>
        <w:t xml:space="preserve"> </w:t>
      </w:r>
      <w:r>
        <w:t xml:space="preserve">do Código Civil, a prática de atos ilícitos que causem dano a outrem gera a obrigação de reparar integralmente o prejuízo.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O</w:t>
      </w:r>
      <w:r>
        <w:t xml:space="preserve"> </w:t>
      </w:r>
      <w:r>
        <w:rPr>
          <w:b/>
          <w:bCs/>
        </w:rPr>
        <w:t xml:space="preserve">artigo 562.º</w:t>
      </w:r>
      <w:r>
        <w:t xml:space="preserve"> </w:t>
      </w:r>
      <w:r>
        <w:t xml:space="preserve">reconhece o direito à compensação por danos morais, sendo que a jurisprudência do Supremo Tribunal de Justiça (Acórdão 123/21.2T8LSB) fixa o parâmetro de</w:t>
      </w:r>
      <w:r>
        <w:t xml:space="preserve"> </w:t>
      </w:r>
      <w:r>
        <w:rPr>
          <w:b/>
          <w:bCs/>
        </w:rPr>
        <w:t xml:space="preserve">10 % a 30 %</w:t>
      </w:r>
      <w:r>
        <w:t xml:space="preserve"> </w:t>
      </w:r>
      <w:r>
        <w:t xml:space="preserve">do valor da indemnização patrimonial, consoante a gravidade do sofrimento.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responsabilidade penal</w:t>
      </w:r>
      <w:r>
        <w:t xml:space="preserve"> </w:t>
      </w:r>
      <w:r>
        <w:t xml:space="preserve">do réu (artigos 157.º e 161.º CP) legitima a aplicação de medidas de tutela de urgência e a condenação ao pagamento de indemnização civil em sede de processo penal, nos termos do artigo 71.º do Código de Processo Penal.</w:t>
      </w:r>
    </w:p>
    <w:bookmarkEnd w:id="10"/>
    <w:bookmarkStart w:id="14" w:name="iii.-quantificação-dos-danos"/>
    <w:p>
      <w:pPr>
        <w:pStyle w:val="Heading3"/>
      </w:pPr>
      <w:r>
        <w:t xml:space="preserve">III. Quantificação dos Danos</w:t>
      </w:r>
    </w:p>
    <w:bookmarkStart w:id="11" w:name="danos-patrimoniais"/>
    <w:p>
      <w:pPr>
        <w:pStyle w:val="Heading4"/>
      </w:pPr>
      <w:r>
        <w:t xml:space="preserve">1. Danos Patrimoniais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02"/>
        <w:gridCol w:w="1638"/>
        <w:gridCol w:w="2731"/>
        <w:gridCol w:w="204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Quantidade</w:t>
            </w:r>
          </w:p>
        </w:tc>
        <w:tc>
          <w:tcPr/>
          <w:p>
            <w:pPr>
              <w:pStyle w:val="Compact"/>
            </w:pPr>
            <w:r>
              <w:t xml:space="preserve">Valor Unitário (€)</w:t>
            </w:r>
          </w:p>
        </w:tc>
        <w:tc>
          <w:tcPr/>
          <w:p>
            <w:pPr>
              <w:pStyle w:val="Compact"/>
            </w:pPr>
            <w:r>
              <w:t xml:space="preserve">Sub‑total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Despesas médicas (consultas, exames, tratamento de lesões)</w:t>
            </w:r>
          </w:p>
        </w:tc>
        <w:tc>
          <w:tcPr/>
          <w:p>
            <w:pPr>
              <w:pStyle w:val="Compact"/>
            </w:pPr>
            <w:r>
              <w:t xml:space="preserve">12 consultas + 5 exames</w:t>
            </w:r>
          </w:p>
        </w:tc>
        <w:tc>
          <w:tcPr/>
          <w:p>
            <w:pPr>
              <w:pStyle w:val="Compact"/>
            </w:pPr>
            <w:r>
              <w:t xml:space="preserve">150,00</w:t>
            </w:r>
          </w:p>
        </w:tc>
        <w:tc>
          <w:tcPr/>
          <w:p>
            <w:pPr>
              <w:pStyle w:val="Compact"/>
            </w:pPr>
            <w:r>
              <w:t xml:space="preserve">2 250,00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Tratamento psicoterapêutico (30 sessões)</w:t>
            </w:r>
          </w:p>
        </w:tc>
        <w:tc>
          <w:tcPr/>
          <w:p>
            <w:pPr>
              <w:pStyle w:val="Compact"/>
            </w:pPr>
            <w:r>
              <w:t xml:space="preserve">30 sessões</w:t>
            </w:r>
          </w:p>
        </w:tc>
        <w:tc>
          <w:tcPr/>
          <w:p>
            <w:pPr>
              <w:pStyle w:val="Compact"/>
            </w:pPr>
            <w:r>
              <w:t xml:space="preserve">100,00</w:t>
            </w:r>
          </w:p>
        </w:tc>
        <w:tc>
          <w:tcPr/>
          <w:p>
            <w:pPr>
              <w:pStyle w:val="Compact"/>
            </w:pPr>
            <w:r>
              <w:t xml:space="preserve">3 000,00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Medicamentos (antidepressivos, ansiolíticos)</w:t>
            </w:r>
          </w:p>
        </w:tc>
        <w:tc>
          <w:tcPr/>
          <w:p>
            <w:pPr>
              <w:pStyle w:val="Compact"/>
            </w:pPr>
            <w:r>
              <w:t xml:space="preserve">12 meses</w:t>
            </w:r>
          </w:p>
        </w:tc>
        <w:tc>
          <w:tcPr/>
          <w:p>
            <w:pPr>
              <w:pStyle w:val="Compact"/>
            </w:pPr>
            <w:r>
              <w:t xml:space="preserve">45,00</w:t>
            </w:r>
          </w:p>
        </w:tc>
        <w:tc>
          <w:tcPr/>
          <w:p>
            <w:pPr>
              <w:pStyle w:val="Compact"/>
            </w:pPr>
            <w:r>
              <w:t xml:space="preserve">540,00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Transporte (deslocações a hospitais e consultas)</w:t>
            </w:r>
          </w:p>
        </w:tc>
        <w:tc>
          <w:tcPr/>
          <w:p>
            <w:pPr>
              <w:pStyle w:val="Compact"/>
            </w:pPr>
            <w:r>
              <w:t xml:space="preserve">30 deslocações</w:t>
            </w:r>
          </w:p>
        </w:tc>
        <w:tc>
          <w:tcPr/>
          <w:p>
            <w:pPr>
              <w:pStyle w:val="Compact"/>
            </w:pPr>
            <w:r>
              <w:t xml:space="preserve">15,00</w:t>
            </w:r>
          </w:p>
        </w:tc>
        <w:tc>
          <w:tcPr/>
          <w:p>
            <w:pPr>
              <w:pStyle w:val="Compact"/>
            </w:pPr>
            <w:r>
              <w:t xml:space="preserve">450,00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Perda de rendimento dos pais (ausência ao trabalho para acompanhamento)</w:t>
            </w:r>
          </w:p>
        </w:tc>
        <w:tc>
          <w:tcPr/>
          <w:p>
            <w:pPr>
              <w:pStyle w:val="Compact"/>
            </w:pPr>
            <w:r>
              <w:t xml:space="preserve">6 meses</w:t>
            </w:r>
          </w:p>
        </w:tc>
        <w:tc>
          <w:tcPr/>
          <w:p>
            <w:pPr>
              <w:pStyle w:val="Compact"/>
            </w:pPr>
            <w:r>
              <w:t xml:space="preserve">1 200,00</w:t>
            </w:r>
          </w:p>
        </w:tc>
        <w:tc>
          <w:tcPr/>
          <w:p>
            <w:pPr>
              <w:pStyle w:val="Compact"/>
            </w:pPr>
            <w:r>
              <w:t xml:space="preserve">7 200,00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de Danos Patrimoniais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13 440,00</w:t>
            </w:r>
          </w:p>
        </w:tc>
      </w:tr>
    </w:tbl>
    <w:bookmarkEnd w:id="11"/>
    <w:bookmarkStart w:id="12" w:name="danos-morais"/>
    <w:p>
      <w:pPr>
        <w:pStyle w:val="Heading4"/>
      </w:pPr>
      <w:r>
        <w:t xml:space="preserve">2. Danos Morais</w:t>
      </w:r>
    </w:p>
    <w:p>
      <w:pPr>
        <w:pStyle w:val="Compact"/>
        <w:numPr>
          <w:ilvl w:val="0"/>
          <w:numId w:val="1003"/>
        </w:numPr>
      </w:pPr>
      <w:r>
        <w:t xml:space="preserve">Considerando a gravidade dos abusos, a duração (5 anos) e o impacto psicológico permanente,</w:t>
      </w:r>
      <w:r>
        <w:t xml:space="preserve"> </w:t>
      </w:r>
      <w:r>
        <w:rPr>
          <w:b/>
          <w:bCs/>
        </w:rPr>
        <w:t xml:space="preserve">admite‑se um valor de 25 %</w:t>
      </w:r>
      <w:r>
        <w:t xml:space="preserve"> </w:t>
      </w:r>
      <w:r>
        <w:t xml:space="preserve">sobre o total patrimonial, em consonância com a jurisprudência citada.</w:t>
      </w:r>
    </w:p>
    <w:p>
      <w:pPr>
        <w:pStyle w:val="FirstParagraph"/>
      </w:pPr>
      <w:r>
        <w:t xml:space="preserve">[</w:t>
      </w:r>
      <w:r>
        <w:t xml:space="preserve"> </w:t>
      </w:r>
      <w:r>
        <w:t xml:space="preserve"> </w:t>
      </w:r>
      <w:r>
        <w:t xml:space="preserve">= 13 440,00</w:t>
      </w:r>
      <w:r>
        <w:t xml:space="preserve"> </w:t>
      </w:r>
      <w:r>
        <w:t xml:space="preserve">,25 =</w:t>
      </w:r>
      <w:r>
        <w:t xml:space="preserve"> </w:t>
      </w:r>
      <w:r>
        <w:t xml:space="preserve"> </w:t>
      </w:r>
      <w:r>
        <w:t xml:space="preserve">]</w:t>
      </w:r>
    </w:p>
    <w:bookmarkEnd w:id="12"/>
    <w:bookmarkStart w:id="13" w:name="indemnização-total-requerida"/>
    <w:p>
      <w:pPr>
        <w:pStyle w:val="Heading4"/>
      </w:pPr>
      <w:r>
        <w:t xml:space="preserve">3. Indemnização Total Requerida</w:t>
      </w:r>
    </w:p>
    <w:p>
      <w:pPr>
        <w:pStyle w:val="FirstParagraph"/>
      </w:pPr>
      <w:r>
        <w:t xml:space="preserve">[</w:t>
      </w:r>
      <w:r>
        <w:t xml:space="preserve"> </w:t>
      </w:r>
      <w:r>
        <w:t xml:space="preserve"> </w:t>
      </w:r>
      <w:r>
        <w:t xml:space="preserve">=</w:t>
      </w:r>
      <w:r>
        <w:t xml:space="preserve"> </w:t>
      </w:r>
      <w:r>
        <w:t xml:space="preserve"> </w:t>
      </w:r>
      <w:r>
        <w:t xml:space="preserve">+</w:t>
      </w:r>
      <w:r>
        <w:t xml:space="preserve"> </w:t>
      </w:r>
      <w:r>
        <w:t xml:space="preserve"> </w:t>
      </w:r>
      <w:r>
        <w:t xml:space="preserve">= 13 440,00 + 3 360,00 =</w:t>
      </w:r>
      <w:r>
        <w:t xml:space="preserve"> </w:t>
      </w:r>
      <w:r>
        <w:t xml:space="preserve"> </w:t>
      </w:r>
      <w:r>
        <w:t xml:space="preserve">]</w:t>
      </w:r>
    </w:p>
    <w:bookmarkEnd w:id="13"/>
    <w:bookmarkEnd w:id="14"/>
    <w:bookmarkStart w:id="15" w:name="iv.-pedidos"/>
    <w:p>
      <w:pPr>
        <w:pStyle w:val="Heading3"/>
      </w:pPr>
      <w:r>
        <w:t xml:space="preserve">IV. Pedidos</w:t>
      </w:r>
    </w:p>
    <w:p>
      <w:pPr>
        <w:pStyle w:val="FirstParagraph"/>
      </w:pPr>
      <w:r>
        <w:t xml:space="preserve">Face ao exposto, requer‑se a V. Exa. que, nos termos do artigo 562.º e 586.º do Código Civil, bem como dos artigos 157.º e 161.º do Código Penal, se digne a: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Conceder tutela de urgência</w:t>
      </w:r>
      <w:r>
        <w:t xml:space="preserve"> </w:t>
      </w:r>
      <w:r>
        <w:t xml:space="preserve">para que a Associação Casa da Juventude, Lda., e o Sr. Carlos Mendes sejam impedidos de exercer qualquer atividade de supervisão ou contacto com menores, até decisão final.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Ordenar a produção de prova pericial psicológica e psiquiátrica</w:t>
      </w:r>
      <w:r>
        <w:t xml:space="preserve"> </w:t>
      </w:r>
      <w:r>
        <w:t xml:space="preserve">complementar, nos termos do artigo 71.º do Código de Processo Penal, a fim de quantificar o grau de incapacidade permanente do menor.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Condenar os réus ao pagamento, a favor do menor João Silva, da quantia total de € 16 800,00 (dezasseis mil e oitocentos euros)</w:t>
      </w:r>
      <w:r>
        <w:t xml:space="preserve">, a título de indemnização por danos patrimoniais e morais, acrescida de juros de mora a contar da data da sentença, nos termos do artigo 78.º do Código Civil.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Impor ao réu a obrigação de custear integralmente as despesas médicas e psicoterapêuticas já realizadas</w:t>
      </w:r>
      <w:r>
        <w:t xml:space="preserve">, mediante reembolso imediato ao requerente, nos termos do artigo 483.º do Código Civil.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Determinar a publicação de aviso de proteção de menores</w:t>
      </w:r>
      <w:r>
        <w:t xml:space="preserve"> </w:t>
      </w:r>
      <w:r>
        <w:t xml:space="preserve">nos meios de comunicação social locais, como medida preventiva, nos termos do artigo 30.º da Lei de Proteção de Crianças e Jovens em Risco (Lei n.º 147/99).</w:t>
      </w:r>
    </w:p>
    <w:bookmarkEnd w:id="15"/>
    <w:bookmarkStart w:id="16" w:name="v.-protesta-por-provas"/>
    <w:p>
      <w:pPr>
        <w:pStyle w:val="Heading3"/>
      </w:pPr>
      <w:r>
        <w:t xml:space="preserve">V. Protesta por Provas</w:t>
      </w:r>
    </w:p>
    <w:p>
      <w:pPr>
        <w:pStyle w:val="FirstParagraph"/>
      </w:pPr>
      <w:r>
        <w:t xml:space="preserve">O requerente protesta pela produção de todas as provas admitidas em direito, designadamente:</w:t>
      </w:r>
    </w:p>
    <w:p>
      <w:pPr>
        <w:pStyle w:val="Compact"/>
        <w:numPr>
          <w:ilvl w:val="0"/>
          <w:numId w:val="1005"/>
        </w:numPr>
      </w:pPr>
      <w:r>
        <w:t xml:space="preserve">Depoimentos testemunhais de familiares, colegas da associação e profissionais de saúde;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Laudos periciais psicológicos e psiquiátricos;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Documentação médica e faturas das despesas acima discriminadas;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Registos internos da Associação Casa da Juventude relativos à presença e supervisão do menor.</w:t>
      </w:r>
    </w:p>
    <w:bookmarkEnd w:id="16"/>
    <w:bookmarkStart w:id="17" w:name="vi.-valor-da-causa"/>
    <w:p>
      <w:pPr>
        <w:pStyle w:val="Heading3"/>
      </w:pPr>
      <w:r>
        <w:t xml:space="preserve">VI. Valor da Causa</w:t>
      </w:r>
    </w:p>
    <w:p>
      <w:pPr>
        <w:pStyle w:val="FirstParagraph"/>
      </w:pPr>
      <w:r>
        <w:t xml:space="preserve">Para efeitos de justiça gratuíta e de cálculo de custas, atribui‑se à presente ação o</w:t>
      </w:r>
      <w:r>
        <w:t xml:space="preserve"> </w:t>
      </w:r>
      <w:r>
        <w:rPr>
          <w:b/>
          <w:bCs/>
        </w:rPr>
        <w:t xml:space="preserve">valor da causa de € 16 800,00</w:t>
      </w:r>
      <w:r>
        <w:t xml:space="preserve"> </w:t>
      </w:r>
      <w:r>
        <w:t xml:space="preserve">(dezasseis mil e oitocentos euros), nos termos do artigo 3.º do Código de Processo Civil.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Luís Costa</w:t>
      </w:r>
      <w:r>
        <w:br/>
      </w:r>
      <w:r>
        <w:t xml:space="preserve">OAB/ Lisboa 12345</w:t>
      </w:r>
    </w:p>
    <w:p>
      <w:pPr>
        <w:pStyle w:val="BodyText"/>
      </w:pPr>
      <w:r>
        <w:rPr>
          <w:b/>
          <w:bCs/>
        </w:rPr>
        <w:t xml:space="preserve">Dra. Sofia Almeida</w:t>
      </w:r>
      <w:r>
        <w:br/>
      </w:r>
      <w:r>
        <w:t xml:space="preserve">OAB/ Lisboa 67890</w:t>
      </w:r>
    </w:p>
    <w:p>
      <w:pPr>
        <w:pStyle w:val="BodyText"/>
      </w:pPr>
      <w:r>
        <w:rPr>
          <w:i/>
          <w:iCs/>
        </w:rPr>
        <w:t xml:space="preserve">Mandatários de Maria Silva, em nome e representação de João Silva, menor.</w:t>
      </w:r>
    </w:p>
    <w:bookmarkEnd w:id="17"/>
    <w:bookmarkEnd w:id="1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